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3E2EEC" w:rsidRPr="001B198A" w:rsidTr="001B198A">
        <w:tc>
          <w:tcPr>
            <w:tcW w:w="3085" w:type="dxa"/>
          </w:tcPr>
          <w:p w:rsidR="001B198A" w:rsidRPr="001B198A" w:rsidRDefault="003E2EEC" w:rsidP="001B198A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ỦY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BAN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NHÂN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DÂN</w:t>
            </w:r>
          </w:p>
          <w:p w:rsidR="003E2EEC" w:rsidRPr="003E2EEC" w:rsidRDefault="003C739E" w:rsidP="001B198A">
            <w:pPr>
              <w:spacing w:before="120"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194945</wp:posOffset>
                      </wp:positionV>
                      <wp:extent cx="619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5.35pt" to="9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" strokecolor="black [3040]"/>
                  </w:pict>
                </mc:Fallback>
              </mc:AlternateContent>
            </w:r>
            <w:r w:rsidR="003E2EEC"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TỈNH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HÀ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NAM</w:t>
            </w:r>
          </w:p>
          <w:p w:rsidR="003E2EEC" w:rsidRPr="001B198A" w:rsidRDefault="003E2EEC" w:rsidP="001B198A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E2EEC">
              <w:rPr>
                <w:rFonts w:eastAsia="Times New Roman" w:cs="Times New Roman"/>
                <w:sz w:val="26"/>
                <w:szCs w:val="26"/>
              </w:rPr>
              <w:t>Số:16</w:t>
            </w:r>
            <w:r w:rsidR="003D546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sz w:val="26"/>
                <w:szCs w:val="26"/>
              </w:rPr>
              <w:t>/2025/QĐ-UBND</w:t>
            </w:r>
          </w:p>
        </w:tc>
        <w:tc>
          <w:tcPr>
            <w:tcW w:w="6203" w:type="dxa"/>
          </w:tcPr>
          <w:p w:rsidR="001B198A" w:rsidRPr="001B198A" w:rsidRDefault="003E2EEC" w:rsidP="001B198A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CỘNG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HÒA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XÃ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HỘI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CHỦ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NGHĨA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VIỆT</w:t>
            </w:r>
            <w:r w:rsidR="003D546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sz w:val="26"/>
                <w:szCs w:val="26"/>
              </w:rPr>
              <w:t>NAM</w:t>
            </w:r>
          </w:p>
          <w:p w:rsidR="003E2EEC" w:rsidRPr="003E2EEC" w:rsidRDefault="003C739E" w:rsidP="001B198A">
            <w:pPr>
              <w:spacing w:before="120" w:after="120" w:line="240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194945</wp:posOffset>
                      </wp:positionV>
                      <wp:extent cx="19431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15.35pt" to="22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0ftQEAALcDAAAOAAAAZHJzL2Uyb0RvYy54bWysU02PEzEMvSPxH6Lc6cxsE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" strokecolor="black [3040]"/>
                  </w:pict>
                </mc:Fallback>
              </mc:AlternateConten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Độc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lập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Tự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do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Hạnh</w:t>
            </w:r>
            <w:r w:rsidR="003D54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3E2EEC" w:rsidRPr="003E2EEC">
              <w:rPr>
                <w:rFonts w:eastAsia="Times New Roman" w:cs="Times New Roman"/>
                <w:b/>
                <w:bCs/>
                <w:szCs w:val="28"/>
              </w:rPr>
              <w:t>phúc</w:t>
            </w:r>
          </w:p>
          <w:p w:rsidR="003E2EEC" w:rsidRPr="001B198A" w:rsidRDefault="003E2EEC" w:rsidP="001B198A">
            <w:pPr>
              <w:spacing w:before="120" w:after="120" w:line="240" w:lineRule="atLeast"/>
              <w:ind w:firstLine="567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Hà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Nam,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ngày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sz w:val="26"/>
                <w:szCs w:val="26"/>
              </w:rPr>
              <w:t>01</w:t>
            </w:r>
            <w:r w:rsidR="003D546D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tháng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3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năm</w:t>
            </w:r>
            <w:r w:rsidR="003D546D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2EEC">
              <w:rPr>
                <w:rFonts w:eastAsia="Times New Roman" w:cs="Times New Roman"/>
                <w:i/>
                <w:iCs/>
                <w:sz w:val="26"/>
                <w:szCs w:val="26"/>
              </w:rPr>
              <w:t>2025</w:t>
            </w:r>
          </w:p>
        </w:tc>
      </w:tr>
    </w:tbl>
    <w:p w:rsidR="003E2EEC" w:rsidRPr="001B198A" w:rsidRDefault="003E2EEC" w:rsidP="003E2EEC">
      <w:pPr>
        <w:spacing w:before="120" w:after="120" w:line="240" w:lineRule="atLeast"/>
        <w:ind w:firstLine="567"/>
        <w:jc w:val="center"/>
        <w:rPr>
          <w:rFonts w:eastAsia="Times New Roman" w:cs="Times New Roman"/>
          <w:b/>
          <w:bCs/>
          <w:szCs w:val="28"/>
        </w:rPr>
      </w:pPr>
    </w:p>
    <w:p w:rsidR="003E2EEC" w:rsidRPr="003E2EEC" w:rsidRDefault="003E2EEC" w:rsidP="003E2EEC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bookmarkStart w:id="0" w:name="_GoBack"/>
      <w:bookmarkEnd w:id="0"/>
      <w:r w:rsidRPr="003E2EEC">
        <w:rPr>
          <w:rFonts w:eastAsia="Times New Roman" w:cs="Times New Roman"/>
          <w:b/>
          <w:bCs/>
          <w:szCs w:val="28"/>
        </w:rPr>
        <w:t>QUYẾT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ĐỊNH</w:t>
      </w:r>
    </w:p>
    <w:p w:rsidR="003E2EEC" w:rsidRDefault="004B2F19" w:rsidP="003E2EEC">
      <w:pPr>
        <w:spacing w:before="120" w:after="120" w:line="240" w:lineRule="atLeast"/>
        <w:ind w:firstLine="567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448945</wp:posOffset>
                </wp:positionV>
                <wp:extent cx="1504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7pt,35.35pt" to="283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" strokecolor="black [3040]"/>
            </w:pict>
          </mc:Fallback>
        </mc:AlternateContent>
      </w:r>
      <w:r w:rsidR="003E2EEC" w:rsidRPr="003E2EEC">
        <w:rPr>
          <w:rFonts w:eastAsia="Times New Roman" w:cs="Times New Roman"/>
          <w:b/>
          <w:bCs/>
          <w:szCs w:val="28"/>
        </w:rPr>
        <w:t>Về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việc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quy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định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chức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năng,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nhiệm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vụ,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quyền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hạn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và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cơ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cấu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tổ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chức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của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Sở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Nội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vụ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tỉnh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Hà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="003E2EEC" w:rsidRPr="003E2EEC">
        <w:rPr>
          <w:rFonts w:eastAsia="Times New Roman" w:cs="Times New Roman"/>
          <w:b/>
          <w:bCs/>
          <w:szCs w:val="28"/>
        </w:rPr>
        <w:t>Nam</w:t>
      </w:r>
    </w:p>
    <w:p w:rsidR="008C4049" w:rsidRPr="003E2EEC" w:rsidRDefault="008C4049" w:rsidP="003E2EEC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</w:p>
    <w:p w:rsidR="003E2EEC" w:rsidRPr="003E2EEC" w:rsidRDefault="003E2EEC" w:rsidP="003E2EEC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ỦY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BAN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NHÂN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DÂN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TỈNH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HÀ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NAM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cứ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Luật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Tổ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chức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chính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quyền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phương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19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02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2025</w:t>
      </w:r>
      <w:r w:rsidRPr="003E2EEC">
        <w:rPr>
          <w:rFonts w:eastAsia="Times New Roman" w:cs="Times New Roman"/>
          <w:i/>
          <w:szCs w:val="28"/>
        </w:rPr>
        <w:t>;</w:t>
      </w:r>
      <w:r w:rsidR="003D546D">
        <w:rPr>
          <w:rFonts w:eastAsia="Times New Roman" w:cs="Times New Roman"/>
          <w:i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cứ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quyết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số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190/2025/QH15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19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02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năm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2025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Quốc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về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xử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lý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một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vấn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đề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liên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đến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sắp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xếp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tổ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chức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bộ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máy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nước</w:t>
      </w:r>
      <w:r w:rsidRPr="003E2EEC">
        <w:rPr>
          <w:rFonts w:eastAsia="Times New Roman" w:cs="Times New Roman"/>
          <w:i/>
          <w:szCs w:val="28"/>
        </w:rPr>
        <w:t>;</w:t>
      </w:r>
      <w:r w:rsidR="003D546D">
        <w:rPr>
          <w:rFonts w:eastAsia="Times New Roman" w:cs="Times New Roman"/>
          <w:i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cứ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số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45/2025</w:t>
      </w:r>
      <w:r w:rsidRPr="003E2EEC">
        <w:rPr>
          <w:rFonts w:eastAsia="Times New Roman" w:cs="Times New Roman"/>
          <w:i/>
          <w:iCs/>
          <w:szCs w:val="28"/>
        </w:rPr>
        <w:t>/NĐ</w:t>
      </w:r>
      <w:r w:rsidRPr="003E2EEC">
        <w:rPr>
          <w:rFonts w:eastAsia="Times New Roman" w:cs="Times New Roman"/>
          <w:i/>
          <w:szCs w:val="28"/>
        </w:rPr>
        <w:t>-CP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28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02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2025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Chính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phủ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tổ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chức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các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cơ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chuyên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môn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tỉnh</w:t>
      </w:r>
      <w:r w:rsidRPr="003E2EEC">
        <w:rPr>
          <w:rFonts w:eastAsia="Times New Roman" w:cs="Times New Roman"/>
          <w:i/>
          <w:szCs w:val="28"/>
        </w:rPr>
        <w:t>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trực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trung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ương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huyện,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quận,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xã,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tỉnh</w:t>
      </w:r>
      <w:r w:rsidRPr="003E2EEC">
        <w:rPr>
          <w:rFonts w:eastAsia="Times New Roman" w:cs="Times New Roman"/>
          <w:i/>
          <w:szCs w:val="28"/>
        </w:rPr>
        <w:t>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trực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trung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ương;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cứ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158/</w:t>
      </w:r>
      <w:r w:rsidRPr="003E2EEC">
        <w:rPr>
          <w:rFonts w:eastAsia="Times New Roman" w:cs="Times New Roman"/>
          <w:i/>
          <w:iCs/>
          <w:szCs w:val="28"/>
        </w:rPr>
        <w:t>2018/NĐ</w:t>
      </w:r>
      <w:r w:rsidRPr="003E2EEC">
        <w:rPr>
          <w:rFonts w:eastAsia="Times New Roman" w:cs="Times New Roman"/>
          <w:i/>
          <w:szCs w:val="28"/>
        </w:rPr>
        <w:t>-</w:t>
      </w:r>
      <w:r w:rsidRPr="003E2EEC">
        <w:rPr>
          <w:rFonts w:eastAsia="Times New Roman" w:cs="Times New Roman"/>
          <w:i/>
          <w:iCs/>
          <w:szCs w:val="28"/>
        </w:rPr>
        <w:t>CP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22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11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2018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Chính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phủ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định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về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lập,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tổ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chức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lại,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giải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thể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tổ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chức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chính;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cứ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Thông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tư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05/</w:t>
      </w:r>
      <w:r w:rsidRPr="003E2EEC">
        <w:rPr>
          <w:rFonts w:eastAsia="Times New Roman" w:cs="Times New Roman"/>
          <w:i/>
          <w:iCs/>
          <w:szCs w:val="28"/>
        </w:rPr>
        <w:t>2021/TT-BNV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12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8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2021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Bộ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trưởng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Bộ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hướng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dẫn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chức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năng</w:t>
      </w:r>
      <w:r w:rsidRPr="003E2EEC">
        <w:rPr>
          <w:rFonts w:eastAsia="Times New Roman" w:cs="Times New Roman"/>
          <w:i/>
          <w:szCs w:val="28"/>
        </w:rPr>
        <w:t>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nhiệm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vụ,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quyền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hạn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Sở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cấp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tỉnh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Phòng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cấp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huyện;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cứ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Thông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tư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số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11/2021/TT-BLĐTBXH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30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tháng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9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2021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Bộ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trưởng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Bộ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Lao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động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-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Thương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binh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Xã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hội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hướng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dẫn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chức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năng</w:t>
      </w:r>
      <w:r w:rsidRPr="003E2EEC">
        <w:rPr>
          <w:rFonts w:eastAsia="Times New Roman" w:cs="Times New Roman"/>
          <w:i/>
          <w:szCs w:val="28"/>
        </w:rPr>
        <w:t>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nhiệm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</w:t>
      </w:r>
      <w:r w:rsidRPr="003E2EEC">
        <w:rPr>
          <w:rFonts w:eastAsia="Times New Roman" w:cs="Times New Roman"/>
          <w:i/>
          <w:szCs w:val="28"/>
        </w:rPr>
        <w:t>,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quyền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hạn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Sở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Lao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động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-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Thương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binh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Xã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cấp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tỉnh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Phòng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Lao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động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-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Thương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binh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Xã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Uỷ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cấp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huyện;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Căn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cứ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quyết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số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20/NQ</w:t>
      </w:r>
      <w:r w:rsidRPr="003E2EEC">
        <w:rPr>
          <w:rFonts w:eastAsia="Times New Roman" w:cs="Times New Roman"/>
          <w:i/>
          <w:szCs w:val="28"/>
        </w:rPr>
        <w:t>-</w:t>
      </w:r>
      <w:r w:rsidRPr="003E2EEC">
        <w:rPr>
          <w:rFonts w:eastAsia="Times New Roman" w:cs="Times New Roman"/>
          <w:i/>
          <w:iCs/>
          <w:szCs w:val="28"/>
        </w:rPr>
        <w:t>HĐND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ngày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19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tháng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02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năm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2025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đồng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tỉnh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về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việc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thành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lập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các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szCs w:val="28"/>
        </w:rPr>
        <w:t>cơ</w:t>
      </w:r>
      <w:r w:rsidR="003D546D">
        <w:rPr>
          <w:rFonts w:eastAsia="Times New Roman" w:cs="Times New Roman"/>
          <w:i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quan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chuyên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môn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thuộc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Ủy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ban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nhân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dân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tỉnh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Hà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Nam;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3E2EEC">
        <w:rPr>
          <w:rFonts w:eastAsia="Times New Roman" w:cs="Times New Roman"/>
          <w:i/>
          <w:iCs/>
          <w:szCs w:val="28"/>
        </w:rPr>
        <w:t>Theo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đề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nghị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của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Giám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đốc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Sở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Nội</w:t>
      </w:r>
      <w:r w:rsidR="003D546D">
        <w:rPr>
          <w:rFonts w:eastAsia="Times New Roman" w:cs="Times New Roman"/>
          <w:i/>
          <w:iCs/>
          <w:szCs w:val="28"/>
        </w:rPr>
        <w:t xml:space="preserve"> </w:t>
      </w:r>
      <w:r w:rsidRPr="003E2EEC">
        <w:rPr>
          <w:rFonts w:eastAsia="Times New Roman" w:cs="Times New Roman"/>
          <w:i/>
          <w:iCs/>
          <w:szCs w:val="28"/>
        </w:rPr>
        <w:t>vụ</w:t>
      </w:r>
      <w:r w:rsidRPr="003E2EEC">
        <w:rPr>
          <w:rFonts w:eastAsia="Times New Roman" w:cs="Times New Roman"/>
          <w:i/>
          <w:szCs w:val="28"/>
        </w:rPr>
        <w:t>.</w:t>
      </w:r>
      <w:r w:rsidR="003D546D">
        <w:rPr>
          <w:rFonts w:eastAsia="Times New Roman" w:cs="Times New Roman"/>
          <w:i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QUYẾT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ĐỊNH</w:t>
      </w:r>
      <w:r w:rsidRPr="003E2EEC">
        <w:rPr>
          <w:rFonts w:eastAsia="Times New Roman" w:cs="Times New Roman"/>
          <w:szCs w:val="28"/>
        </w:rPr>
        <w:t>: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b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Điều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1.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szCs w:val="28"/>
        </w:rPr>
        <w:t>Vị</w:t>
      </w:r>
      <w:r w:rsidR="003D546D">
        <w:rPr>
          <w:rFonts w:eastAsia="Times New Roman" w:cs="Times New Roman"/>
          <w:b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trí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và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chức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năng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Uỷ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về: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máy;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lastRenderedPageBreak/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phường,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(gọi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bồi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phủ;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tộc;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con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khoản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riêng;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Điều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2.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Nhiệm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vụ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và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quyền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hạn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E24690" w:rsidP="009552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5061A6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huyện.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hóa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88583B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lastRenderedPageBreak/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biến,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dõi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4.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máy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xem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xét,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C279E4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huyện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huyện.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Uỷ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(trừ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định).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dõi,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cùng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5.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gửi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gửi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6.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phần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(gọi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nguồn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(nếu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gửi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C82F1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duyệt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đã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nguồn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phần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960EE4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- </w:t>
      </w:r>
      <w:r w:rsidR="003E2EEC"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đạo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máy,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phương.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phần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gửi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7.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bậc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xuyên,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bậc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mắc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8.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đẩy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đẩy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10374" w:rsidRDefault="00665D0A" w:rsidP="00310374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lòng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phục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bàn.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10374" w:rsidP="00310374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-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dõi,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đánh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giá,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kết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 </w:t>
      </w:r>
      <w:r w:rsidR="003E2EEC"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613A71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9.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biểu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biểu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C60F15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bầu,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miễn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bãi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tịch,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đổi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Uỷ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chuẩn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bầu,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miễn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10.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mốc,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gửi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xem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xét,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đổi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lastRenderedPageBreak/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vùng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khu.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9B6B85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đến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5B46C4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dụng,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chức;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giữ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đại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phần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vốn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xã,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thôn,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phố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4B17D2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thi,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xét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thi,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xét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thăng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ngạch,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trở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xuống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ngạch,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xếp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trúng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kỳ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thi,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xét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thăng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887369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tiêu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chuẩn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lãnh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Đảng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quyền.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này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bồi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(bao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gồm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xã)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BD1EAA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bồi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duyệt.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DB004A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- </w:t>
      </w:r>
      <w:r w:rsidR="003E2EEC"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bồi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tượng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="003E2EEC"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</w:t>
      </w:r>
      <w:r w:rsidRPr="00F53522">
        <w:rPr>
          <w:rFonts w:eastAsia="Times New Roman" w:cs="Times New Roman"/>
          <w:szCs w:val="28"/>
        </w:rPr>
        <w:t>)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Thực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hiện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bồi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dưỡng,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tập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huấn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theo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yêu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cầu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vị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trí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việc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làm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trong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ngành,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lĩnh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vực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được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giao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quản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lý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đối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với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công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chức,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viên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chức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và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người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làm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công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tác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ở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ngành,</w:t>
      </w:r>
      <w:r w:rsidR="003D546D" w:rsidRPr="00F53522">
        <w:rPr>
          <w:rFonts w:eastAsia="Times New Roman" w:cs="Times New Roman"/>
          <w:szCs w:val="28"/>
        </w:rPr>
        <w:t xml:space="preserve"> </w:t>
      </w:r>
      <w:r w:rsidRPr="00F53522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đó.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bồi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phủ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(trừ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góp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tỉnh).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cứ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14.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nguồn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mang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khỏi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luật: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cần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nguồn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luật: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tầm,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kê,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hóa,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khoa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học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lastRenderedPageBreak/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15.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tộc,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tộc.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hóa,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sắc,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diện,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e)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huyện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F91E86">
        <w:rPr>
          <w:rFonts w:eastAsia="Times New Roman" w:cs="Times New Roman"/>
          <w:szCs w:val="28"/>
        </w:rPr>
        <w:t xml:space="preserve"> 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16.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ngũ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2C4309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tiêu,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tiêu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đoạn,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ích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2C4309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17.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yêu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Minh,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tốt,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tốt,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chọn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tiêu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biểu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biểu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kịp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tặng,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đón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đổi,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F014F8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e)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18.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hỗ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hỗ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giấy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giấy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giấy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e)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19.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90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ngày;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trường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thúc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chọn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tích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lũy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ngoài;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Hỗ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sau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tâm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nguyện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nhằm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hòa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20.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kỷ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thỏa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sắp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xếp,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thuê,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đổi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hữu,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sắp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xếp,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đổi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mới,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nâng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tuổi,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tật,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xuất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(nếu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những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tuất;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nhóm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đoạn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giờ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giờ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phẩm,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hóa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phẩm,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hóa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loại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máy,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yêu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nghiêm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5E6BE9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nặng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02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lên;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="005E6BE9" w:rsidRPr="003E2EEC">
        <w:rPr>
          <w:rFonts w:eastAsia="Times New Roman" w:cs="Times New Roman"/>
          <w:szCs w:val="28"/>
        </w:rPr>
        <w:t>vụ</w:t>
      </w:r>
      <w:r w:rsidR="005E6BE9">
        <w:rPr>
          <w:rFonts w:eastAsia="Times New Roman" w:cs="Times New Roman"/>
          <w:szCs w:val="28"/>
        </w:rPr>
        <w:t xml:space="preserve"> </w:t>
      </w:r>
      <w:r w:rsidR="005E6BE9" w:rsidRPr="003E2EEC">
        <w:rPr>
          <w:rFonts w:eastAsia="Times New Roman" w:cs="Times New Roman"/>
          <w:szCs w:val="28"/>
        </w:rPr>
        <w:t>tai</w:t>
      </w:r>
      <w:r w:rsidR="005E6BE9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bệnh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ngừa,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sẻ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rủi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bệnh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thập,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mất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toàn,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nghiêm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trọng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xảy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e)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thêm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200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giờ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300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giờ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khai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nuôi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nhận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cốt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viếng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cốt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liệt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sĩ;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d)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tượng,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hồ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họ;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đ)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“Đền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nghĩa”;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“Đền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nghĩa”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24.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ngừa,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9B6B85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ghép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vấn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ngừa,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triển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thúc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đẩy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ngừa,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phù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phương;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vì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ngừa,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25.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26.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cứu,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dụng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khoa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học,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27.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Hướng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dẫn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đặt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bàn.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28.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kê,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lastRenderedPageBreak/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29.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(trừ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tỉnh);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hệ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140C2E">
        <w:rPr>
          <w:rFonts w:eastAsia="Times New Roman" w:cs="Times New Roman"/>
          <w:szCs w:val="28"/>
        </w:rPr>
        <w:t>30.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Quản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lý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tổ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chức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bộ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máy;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vị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trí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việc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làm,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biên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chế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công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chức,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cơ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cấu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ngạch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công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chức;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vị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trí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việc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làm,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cơ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cấu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viên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chức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theo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chức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danh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nghề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nghiệp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và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số</w:t>
      </w:r>
      <w:r w:rsidR="003D546D" w:rsidRPr="00140C2E">
        <w:rPr>
          <w:rFonts w:eastAsia="Times New Roman" w:cs="Times New Roman"/>
          <w:szCs w:val="28"/>
        </w:rPr>
        <w:t xml:space="preserve"> </w:t>
      </w:r>
      <w:r w:rsidRPr="00140C2E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chịu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nhũng,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tiêu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cực;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chống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tại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34.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tiếp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khiếu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cáo,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kiến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lĩnh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35.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Điều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3.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Cơ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cấu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tổ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chức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và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biên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chế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Lãnh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gồm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có: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đồng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bầu,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đứng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đầu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chịu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giúp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hoặc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một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chịu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trước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c)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lại,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miễn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chuyển,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kỷ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nghỉ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nước.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mưu,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hợp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phủ.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niên.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Cải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đua,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khen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thưởng.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Tôn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giáo.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Tiền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Bảo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đẳng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giới.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lập: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tâm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trữ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tâm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Dịch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Trung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tâm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Nuôi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bệnh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nặng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Điều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dưỡng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a)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gắn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với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nằm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giao.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b)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cứ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mục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được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phê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duyệt;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xây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dựng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hoạch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lượng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người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trong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sự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lập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thuộc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trình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thẩm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xem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xét,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pháp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luật.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b/>
          <w:bCs/>
          <w:szCs w:val="28"/>
        </w:rPr>
        <w:t>Điều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4.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Tổ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chức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thực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  <w:r w:rsidRPr="003E2EEC">
        <w:rPr>
          <w:rFonts w:eastAsia="Times New Roman" w:cs="Times New Roman"/>
          <w:b/>
          <w:bCs/>
          <w:szCs w:val="28"/>
        </w:rPr>
        <w:t>hiện</w:t>
      </w:r>
      <w:r w:rsidR="003D546D">
        <w:rPr>
          <w:rFonts w:eastAsia="Times New Roman" w:cs="Times New Roman"/>
          <w:b/>
          <w:bCs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1.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làm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việc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sở;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chuyên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môn,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nghiệp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tra.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trí,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công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theo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về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cấp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quản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lý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bộ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lastRenderedPageBreak/>
        <w:t>2.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này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hiệu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lực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kể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từ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01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03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2025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thay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thế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44/2021/QĐ-UBND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20/12/2021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số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17/2022/QĐ-UBND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ngày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23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6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2022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năng,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quyền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cấu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tổ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chức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của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Lao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động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-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Thương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binh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Xã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Nam.</w:t>
      </w:r>
      <w:r w:rsidR="003D546D">
        <w:rPr>
          <w:rFonts w:eastAsia="Times New Roman" w:cs="Times New Roman"/>
          <w:szCs w:val="28"/>
        </w:rPr>
        <w:t xml:space="preserve"> </w:t>
      </w:r>
    </w:p>
    <w:p w:rsidR="003E2EEC" w:rsidRPr="003E2EEC" w:rsidRDefault="003E2EEC" w:rsidP="003E2EEC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3E2EEC">
        <w:rPr>
          <w:rFonts w:eastAsia="Times New Roman" w:cs="Times New Roman"/>
          <w:szCs w:val="28"/>
        </w:rPr>
        <w:t>3.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Chánh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Văn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phòng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Ủy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ban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dân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tỉnh,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Nội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vụ,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Giám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đốc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Sở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Tài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chính,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Thủ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trưởng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các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cơ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quan,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đơn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vị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có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liên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quan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chịu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trách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nhiệm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thi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hành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Quyết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định</w:t>
      </w:r>
      <w:r w:rsidR="003D546D">
        <w:rPr>
          <w:rFonts w:eastAsia="Times New Roman" w:cs="Times New Roman"/>
          <w:szCs w:val="28"/>
        </w:rPr>
        <w:t xml:space="preserve"> </w:t>
      </w:r>
      <w:r w:rsidRPr="003E2EEC">
        <w:rPr>
          <w:rFonts w:eastAsia="Times New Roman" w:cs="Times New Roman"/>
          <w:szCs w:val="28"/>
        </w:rPr>
        <w:t>này./.</w:t>
      </w:r>
      <w:r w:rsidR="003D546D">
        <w:rPr>
          <w:rFonts w:eastAsia="Times New Roman" w:cs="Times New Roman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B198A" w:rsidRPr="001B198A" w:rsidTr="001B198A">
        <w:tc>
          <w:tcPr>
            <w:tcW w:w="4644" w:type="dxa"/>
          </w:tcPr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4"/>
                <w:szCs w:val="24"/>
              </w:rPr>
            </w:pPr>
            <w:r w:rsidRPr="003E2EEC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Nơi</w:t>
            </w:r>
            <w:r w:rsidR="003D546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E2EEC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nhận:</w:t>
            </w:r>
            <w:r w:rsidR="003D546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Như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Điều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4;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Vụ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pháp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chế,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Bộ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Nội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vụ;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Cục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KTVB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và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QLXLVPHC,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Bộ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Tư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pháp;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TT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Tỉnh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ủy,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TT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HĐND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tỉnh;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Chủ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tịch,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các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PCT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UBND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tỉnh;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VPUB;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LĐVP,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TCDNC,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TH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E34B3E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 w:val="22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Công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báo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tỉnh;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Cổng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TTĐT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tỉnh;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3E2EEC" w:rsidRDefault="001B198A" w:rsidP="001B198A">
            <w:pPr>
              <w:spacing w:before="120" w:after="120" w:line="240" w:lineRule="atLeast"/>
              <w:rPr>
                <w:rFonts w:eastAsia="Times New Roman" w:cs="Times New Roman"/>
                <w:szCs w:val="28"/>
              </w:rPr>
            </w:pPr>
            <w:r w:rsidRPr="003E2EEC">
              <w:rPr>
                <w:rFonts w:eastAsia="Times New Roman" w:cs="Times New Roman"/>
                <w:sz w:val="22"/>
              </w:rPr>
              <w:t>-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="00E34B3E">
              <w:rPr>
                <w:rFonts w:eastAsia="Times New Roman" w:cs="Times New Roman"/>
                <w:sz w:val="22"/>
              </w:rPr>
              <w:t>Lưu</w:t>
            </w:r>
            <w:r w:rsidRPr="003E2EEC">
              <w:rPr>
                <w:rFonts w:eastAsia="Times New Roman" w:cs="Times New Roman"/>
                <w:sz w:val="22"/>
              </w:rPr>
              <w:t>: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VT,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  <w:r w:rsidRPr="003E2EEC">
              <w:rPr>
                <w:rFonts w:eastAsia="Times New Roman" w:cs="Times New Roman"/>
                <w:sz w:val="22"/>
              </w:rPr>
              <w:t>TCDNC(T).</w:t>
            </w:r>
            <w:r w:rsidR="003D546D">
              <w:rPr>
                <w:rFonts w:eastAsia="Times New Roman" w:cs="Times New Roman"/>
                <w:sz w:val="22"/>
              </w:rPr>
              <w:t xml:space="preserve"> </w:t>
            </w:r>
          </w:p>
          <w:p w:rsidR="001B198A" w:rsidRPr="001B198A" w:rsidRDefault="001B198A" w:rsidP="003E2EEC">
            <w:pPr>
              <w:spacing w:before="120" w:after="120" w:line="240" w:lineRule="atLeast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4644" w:type="dxa"/>
          </w:tcPr>
          <w:p w:rsidR="002F2239" w:rsidRDefault="002F2239" w:rsidP="002F2239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TM. UỶ BAN NHÂN DÂN</w:t>
            </w:r>
          </w:p>
          <w:p w:rsidR="002F2239" w:rsidRDefault="002F2239" w:rsidP="002F2239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CHỦ TỊCH</w:t>
            </w:r>
          </w:p>
          <w:p w:rsidR="002F2239" w:rsidRDefault="002F2239" w:rsidP="002F2239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  <w:p w:rsidR="002F2239" w:rsidRDefault="002F2239" w:rsidP="002F2239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  <w:p w:rsidR="002F2239" w:rsidRPr="001B198A" w:rsidRDefault="002F2239" w:rsidP="002F2239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Trương Quốc Huy</w:t>
            </w:r>
          </w:p>
        </w:tc>
      </w:tr>
    </w:tbl>
    <w:p w:rsidR="001B198A" w:rsidRPr="001B198A" w:rsidRDefault="001B198A" w:rsidP="003E2EEC">
      <w:pPr>
        <w:spacing w:before="120" w:after="120" w:line="240" w:lineRule="atLeast"/>
        <w:ind w:firstLine="567"/>
        <w:rPr>
          <w:rFonts w:eastAsia="Times New Roman" w:cs="Times New Roman"/>
          <w:b/>
          <w:bCs/>
          <w:iCs/>
          <w:szCs w:val="28"/>
        </w:rPr>
      </w:pPr>
    </w:p>
    <w:sectPr w:rsidR="001B198A" w:rsidRPr="001B198A" w:rsidSect="009B6B85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C0" w:rsidRDefault="009048C0" w:rsidP="009B6B85">
      <w:pPr>
        <w:spacing w:after="0" w:line="240" w:lineRule="auto"/>
      </w:pPr>
      <w:r>
        <w:separator/>
      </w:r>
    </w:p>
  </w:endnote>
  <w:endnote w:type="continuationSeparator" w:id="0">
    <w:p w:rsidR="009048C0" w:rsidRDefault="009048C0" w:rsidP="009B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C0" w:rsidRDefault="009048C0" w:rsidP="009B6B85">
      <w:pPr>
        <w:spacing w:after="0" w:line="240" w:lineRule="auto"/>
      </w:pPr>
      <w:r>
        <w:separator/>
      </w:r>
    </w:p>
  </w:footnote>
  <w:footnote w:type="continuationSeparator" w:id="0">
    <w:p w:rsidR="009048C0" w:rsidRDefault="009048C0" w:rsidP="009B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8549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5285" w:rsidRDefault="009552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F1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55285" w:rsidRDefault="00955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EC"/>
    <w:rsid w:val="00137196"/>
    <w:rsid w:val="00140C2E"/>
    <w:rsid w:val="001B198A"/>
    <w:rsid w:val="002C4309"/>
    <w:rsid w:val="002F2239"/>
    <w:rsid w:val="00310374"/>
    <w:rsid w:val="00364E08"/>
    <w:rsid w:val="003C739E"/>
    <w:rsid w:val="003D546D"/>
    <w:rsid w:val="003E2EEC"/>
    <w:rsid w:val="004B17D2"/>
    <w:rsid w:val="004B2F19"/>
    <w:rsid w:val="005061A6"/>
    <w:rsid w:val="005B46C4"/>
    <w:rsid w:val="005E6BE9"/>
    <w:rsid w:val="00613A71"/>
    <w:rsid w:val="00665D0A"/>
    <w:rsid w:val="006A7B20"/>
    <w:rsid w:val="00825819"/>
    <w:rsid w:val="00833AC4"/>
    <w:rsid w:val="0088583B"/>
    <w:rsid w:val="00887369"/>
    <w:rsid w:val="008C4049"/>
    <w:rsid w:val="009048C0"/>
    <w:rsid w:val="00955285"/>
    <w:rsid w:val="00960EE4"/>
    <w:rsid w:val="009B6B85"/>
    <w:rsid w:val="00B740FD"/>
    <w:rsid w:val="00B918FF"/>
    <w:rsid w:val="00BD1EAA"/>
    <w:rsid w:val="00BD224A"/>
    <w:rsid w:val="00C279E4"/>
    <w:rsid w:val="00C57C8C"/>
    <w:rsid w:val="00C60F15"/>
    <w:rsid w:val="00C82F1C"/>
    <w:rsid w:val="00D16B8A"/>
    <w:rsid w:val="00DB004A"/>
    <w:rsid w:val="00DF7314"/>
    <w:rsid w:val="00E24690"/>
    <w:rsid w:val="00E34B3E"/>
    <w:rsid w:val="00F014F8"/>
    <w:rsid w:val="00F53522"/>
    <w:rsid w:val="00F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85"/>
  </w:style>
  <w:style w:type="paragraph" w:styleId="Footer">
    <w:name w:val="footer"/>
    <w:basedOn w:val="Normal"/>
    <w:link w:val="FooterChar"/>
    <w:uiPriority w:val="99"/>
    <w:unhideWhenUsed/>
    <w:rsid w:val="009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85"/>
  </w:style>
  <w:style w:type="paragraph" w:styleId="Footer">
    <w:name w:val="footer"/>
    <w:basedOn w:val="Normal"/>
    <w:link w:val="FooterChar"/>
    <w:uiPriority w:val="99"/>
    <w:unhideWhenUsed/>
    <w:rsid w:val="009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16F12-A9C2-4152-923C-3F9DC3167D25}"/>
</file>

<file path=customXml/itemProps2.xml><?xml version="1.0" encoding="utf-8"?>
<ds:datastoreItem xmlns:ds="http://schemas.openxmlformats.org/officeDocument/2006/customXml" ds:itemID="{6DD20F6A-13C8-435A-8E4B-BDD1D99D6F02}"/>
</file>

<file path=customXml/itemProps3.xml><?xml version="1.0" encoding="utf-8"?>
<ds:datastoreItem xmlns:ds="http://schemas.openxmlformats.org/officeDocument/2006/customXml" ds:itemID="{ACF25B55-01CC-4098-985B-00FB85F40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16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2025-04-04T01:24:00Z</dcterms:created>
  <dcterms:modified xsi:type="dcterms:W3CDTF">2025-05-27T04:05:00Z</dcterms:modified>
</cp:coreProperties>
</file>